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</w:t>
      </w:r>
      <w:bookmarkStart w:id="0" w:name="_GoBack"/>
      <w:r w:rsidRPr="005479AE">
        <w:rPr>
          <w:rFonts w:ascii="標楷體" w:eastAsia="標楷體" w:hAnsi="標楷體" w:cs="Times New Roman" w:hint="eastAsia"/>
          <w:sz w:val="32"/>
          <w:szCs w:val="32"/>
        </w:rPr>
        <w:t>原住民族文化科教獎</w:t>
      </w:r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8E" w:rsidRDefault="005C278E" w:rsidP="0048303D">
      <w:r>
        <w:separator/>
      </w:r>
    </w:p>
  </w:endnote>
  <w:endnote w:type="continuationSeparator" w:id="0">
    <w:p w:rsidR="005C278E" w:rsidRDefault="005C278E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8E" w:rsidRDefault="005C278E" w:rsidP="0048303D">
      <w:r>
        <w:separator/>
      </w:r>
    </w:p>
  </w:footnote>
  <w:footnote w:type="continuationSeparator" w:id="0">
    <w:p w:rsidR="005C278E" w:rsidRDefault="005C278E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E"/>
    <w:rsid w:val="00097ED4"/>
    <w:rsid w:val="0013442A"/>
    <w:rsid w:val="00330AE1"/>
    <w:rsid w:val="0043048F"/>
    <w:rsid w:val="0048303D"/>
    <w:rsid w:val="005479AE"/>
    <w:rsid w:val="00571CA4"/>
    <w:rsid w:val="005C278E"/>
    <w:rsid w:val="006F7464"/>
    <w:rsid w:val="00761DC9"/>
    <w:rsid w:val="007A76E5"/>
    <w:rsid w:val="007F3F7F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2021-12-30T00:26:00Z</dcterms:created>
  <dcterms:modified xsi:type="dcterms:W3CDTF">2021-12-30T00:26:00Z</dcterms:modified>
</cp:coreProperties>
</file>