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561093" w:rsidRPr="00561093" w:rsidTr="00561093">
        <w:tc>
          <w:tcPr>
            <w:tcW w:w="0" w:type="auto"/>
            <w:shd w:val="clear" w:color="auto" w:fill="FFFFFF"/>
            <w:vAlign w:val="center"/>
            <w:hideMark/>
          </w:tcPr>
          <w:p w:rsidR="00561093" w:rsidRPr="00561093" w:rsidRDefault="00561093" w:rsidP="00561093">
            <w:pPr>
              <w:widowControl/>
              <w:wordWrap w:val="0"/>
              <w:spacing w:line="600" w:lineRule="atLeast"/>
              <w:jc w:val="center"/>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40"/>
                <w:szCs w:val="40"/>
              </w:rPr>
              <w:t>桃園市政府 函</w:t>
            </w:r>
          </w:p>
        </w:tc>
      </w:tr>
    </w:tbl>
    <w:p w:rsidR="00561093" w:rsidRPr="00561093" w:rsidRDefault="00561093" w:rsidP="00561093">
      <w:pPr>
        <w:widowControl/>
        <w:rPr>
          <w:rFonts w:ascii="新細明體" w:eastAsia="新細明體" w:hAnsi="新細明體" w:cs="新細明體"/>
          <w:kern w:val="0"/>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45"/>
        <w:gridCol w:w="4696"/>
      </w:tblGrid>
      <w:tr w:rsidR="00561093" w:rsidRPr="00561093" w:rsidTr="00561093">
        <w:trPr>
          <w:trHeight w:val="600"/>
          <w:tblCellSpacing w:w="15" w:type="dxa"/>
        </w:trPr>
        <w:tc>
          <w:tcPr>
            <w:tcW w:w="4500" w:type="dxa"/>
            <w:shd w:val="clear" w:color="auto" w:fill="FFFFFF"/>
            <w:vAlign w:val="center"/>
            <w:hideMark/>
          </w:tcPr>
          <w:p w:rsidR="00561093" w:rsidRPr="00561093" w:rsidRDefault="00561093" w:rsidP="00561093">
            <w:pPr>
              <w:widowControl/>
              <w:rPr>
                <w:rFonts w:ascii="新細明體" w:eastAsia="新細明體" w:hAnsi="新細明體" w:cs="新細明體"/>
                <w:kern w:val="0"/>
                <w:szCs w:val="24"/>
              </w:rPr>
            </w:pPr>
          </w:p>
        </w:tc>
        <w:tc>
          <w:tcPr>
            <w:tcW w:w="0" w:type="auto"/>
            <w:shd w:val="clear" w:color="auto" w:fill="FFFFFF"/>
            <w:vAlign w:val="center"/>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地址：33001桃園市桃園區縣府路1號</w:t>
            </w:r>
            <w:r w:rsidRPr="00561093">
              <w:rPr>
                <w:rFonts w:ascii="Times New Roman" w:eastAsia="新細明體" w:hAnsi="Times New Roman" w:cs="Times New Roman"/>
                <w:color w:val="000000"/>
                <w:spacing w:val="12"/>
                <w:kern w:val="0"/>
                <w:szCs w:val="24"/>
              </w:rPr>
              <w:br/>
            </w:r>
            <w:r w:rsidRPr="00561093">
              <w:rPr>
                <w:rFonts w:ascii="標楷體" w:eastAsia="標楷體" w:hAnsi="標楷體" w:cs="Times New Roman" w:hint="eastAsia"/>
                <w:color w:val="000000"/>
                <w:spacing w:val="12"/>
                <w:kern w:val="0"/>
                <w:szCs w:val="24"/>
              </w:rPr>
              <w:t>承辦人：科員 張偉倪</w:t>
            </w:r>
            <w:r w:rsidRPr="00561093">
              <w:rPr>
                <w:rFonts w:ascii="Times New Roman" w:eastAsia="新細明體" w:hAnsi="Times New Roman" w:cs="Times New Roman"/>
                <w:color w:val="000000"/>
                <w:spacing w:val="12"/>
                <w:kern w:val="0"/>
                <w:szCs w:val="24"/>
              </w:rPr>
              <w:br/>
            </w:r>
            <w:r w:rsidRPr="00561093">
              <w:rPr>
                <w:rFonts w:ascii="標楷體" w:eastAsia="標楷體" w:hAnsi="標楷體" w:cs="Times New Roman" w:hint="eastAsia"/>
                <w:color w:val="000000"/>
                <w:spacing w:val="12"/>
                <w:kern w:val="0"/>
                <w:szCs w:val="24"/>
              </w:rPr>
              <w:t>電話：(03)3322101#5510</w:t>
            </w:r>
            <w:r w:rsidRPr="00561093">
              <w:rPr>
                <w:rFonts w:ascii="Times New Roman" w:eastAsia="新細明體" w:hAnsi="Times New Roman" w:cs="Times New Roman"/>
                <w:color w:val="000000"/>
                <w:spacing w:val="12"/>
                <w:kern w:val="0"/>
                <w:szCs w:val="24"/>
              </w:rPr>
              <w:br/>
            </w:r>
            <w:r w:rsidRPr="00561093">
              <w:rPr>
                <w:rFonts w:ascii="標楷體" w:eastAsia="標楷體" w:hAnsi="標楷體" w:cs="Times New Roman" w:hint="eastAsia"/>
                <w:color w:val="000000"/>
                <w:spacing w:val="12"/>
                <w:kern w:val="0"/>
                <w:szCs w:val="24"/>
              </w:rPr>
              <w:t>電子信箱：10014184@mail.tycg.gov.tw</w:t>
            </w:r>
          </w:p>
        </w:tc>
      </w:tr>
    </w:tbl>
    <w:p w:rsidR="00561093" w:rsidRPr="00561093" w:rsidRDefault="00561093" w:rsidP="00561093">
      <w:pPr>
        <w:widowControl/>
        <w:rPr>
          <w:rFonts w:ascii="新細明體" w:eastAsia="新細明體" w:hAnsi="新細明體" w:cs="新細明體"/>
          <w:kern w:val="0"/>
          <w:szCs w:val="24"/>
        </w:rPr>
      </w:pP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9750"/>
      </w:tblGrid>
      <w:tr w:rsidR="00561093" w:rsidRPr="00561093" w:rsidTr="00561093">
        <w:tc>
          <w:tcPr>
            <w:tcW w:w="0" w:type="auto"/>
            <w:shd w:val="clear" w:color="auto" w:fill="FFFFFF"/>
            <w:vAlign w:val="center"/>
            <w:hideMark/>
          </w:tcPr>
          <w:p w:rsidR="00561093" w:rsidRPr="00561093" w:rsidRDefault="00561093" w:rsidP="00561093">
            <w:pPr>
              <w:widowControl/>
              <w:wordWrap w:val="0"/>
              <w:spacing w:before="100" w:beforeAutospacing="1" w:after="100" w:afterAutospacing="1"/>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受文者：桃園市立興南國民中學</w:t>
            </w:r>
          </w:p>
        </w:tc>
      </w:tr>
    </w:tbl>
    <w:p w:rsidR="00561093" w:rsidRPr="00561093" w:rsidRDefault="00561093" w:rsidP="00561093">
      <w:pPr>
        <w:widowControl/>
        <w:rPr>
          <w:rFonts w:ascii="新細明體" w:eastAsia="新細明體" w:hAnsi="新細明體" w:cs="新細明體"/>
          <w:vanish/>
          <w:kern w:val="0"/>
          <w:szCs w:val="24"/>
        </w:rPr>
      </w:pPr>
    </w:p>
    <w:tbl>
      <w:tblPr>
        <w:tblW w:w="10102"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702"/>
        <w:gridCol w:w="8400"/>
      </w:tblGrid>
      <w:tr w:rsidR="00561093" w:rsidRPr="00561093" w:rsidTr="00561093">
        <w:tc>
          <w:tcPr>
            <w:tcW w:w="1702" w:type="dxa"/>
            <w:shd w:val="clear" w:color="auto" w:fill="FFFFFF"/>
            <w:noWrap/>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發文日</w:t>
            </w:r>
            <w:r>
              <w:rPr>
                <w:rFonts w:ascii="標楷體" w:eastAsia="標楷體" w:hAnsi="標楷體" w:cs="Times New Roman" w:hint="eastAsia"/>
                <w:color w:val="000000"/>
                <w:spacing w:val="12"/>
                <w:kern w:val="0"/>
                <w:szCs w:val="24"/>
              </w:rPr>
              <w:t>期</w:t>
            </w:r>
            <w:r w:rsidRPr="00561093">
              <w:rPr>
                <w:rFonts w:ascii="標楷體" w:eastAsia="標楷體" w:hAnsi="標楷體" w:cs="Times New Roman" w:hint="eastAsia"/>
                <w:color w:val="000000"/>
                <w:spacing w:val="12"/>
                <w:kern w:val="0"/>
                <w:szCs w:val="24"/>
              </w:rPr>
              <w:t>：</w:t>
            </w:r>
          </w:p>
        </w:tc>
        <w:tc>
          <w:tcPr>
            <w:tcW w:w="0" w:type="auto"/>
            <w:shd w:val="clear" w:color="auto" w:fill="FFFFFF"/>
            <w:vAlign w:val="center"/>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中華民國113年4月9日</w:t>
            </w:r>
          </w:p>
        </w:tc>
      </w:tr>
    </w:tbl>
    <w:p w:rsidR="00561093" w:rsidRPr="00561093" w:rsidRDefault="00561093" w:rsidP="00561093">
      <w:pPr>
        <w:widowControl/>
        <w:rPr>
          <w:rFonts w:ascii="新細明體" w:eastAsia="新細明體" w:hAnsi="新細明體" w:cs="新細明體"/>
          <w:vanish/>
          <w:kern w:val="0"/>
          <w:szCs w:val="24"/>
        </w:rPr>
      </w:pPr>
    </w:p>
    <w:tbl>
      <w:tblPr>
        <w:tblW w:w="10668"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8400"/>
      </w:tblGrid>
      <w:tr w:rsidR="00561093" w:rsidRPr="00561093" w:rsidTr="00561093">
        <w:tc>
          <w:tcPr>
            <w:tcW w:w="2268" w:type="dxa"/>
            <w:shd w:val="clear" w:color="auto" w:fill="FFFFFF"/>
            <w:noWrap/>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bookmarkStart w:id="0" w:name="_GoBack"/>
            <w:bookmarkEnd w:id="0"/>
            <w:r w:rsidRPr="00561093">
              <w:rPr>
                <w:rFonts w:ascii="標楷體" w:eastAsia="標楷體" w:hAnsi="標楷體" w:cs="Times New Roman" w:hint="eastAsia"/>
                <w:color w:val="000000"/>
                <w:spacing w:val="12"/>
                <w:kern w:val="0"/>
                <w:szCs w:val="24"/>
              </w:rPr>
              <w:t>發文字號：</w:t>
            </w:r>
          </w:p>
        </w:tc>
        <w:tc>
          <w:tcPr>
            <w:tcW w:w="0" w:type="auto"/>
            <w:shd w:val="clear" w:color="auto" w:fill="FFFFFF"/>
            <w:vAlign w:val="center"/>
            <w:hideMark/>
          </w:tcPr>
          <w:p w:rsidR="00561093" w:rsidRPr="00561093" w:rsidRDefault="00561093" w:rsidP="00561093">
            <w:pPr>
              <w:widowControl/>
              <w:wordWrap w:val="0"/>
              <w:rPr>
                <w:rFonts w:ascii="Times New Roman" w:eastAsia="新細明體" w:hAnsi="Times New Roman" w:cs="Times New Roman" w:hint="eastAsia"/>
                <w:color w:val="000000"/>
                <w:spacing w:val="12"/>
                <w:kern w:val="0"/>
                <w:szCs w:val="24"/>
              </w:rPr>
            </w:pPr>
            <w:r w:rsidRPr="00561093">
              <w:rPr>
                <w:rFonts w:ascii="標楷體" w:eastAsia="標楷體" w:hAnsi="標楷體" w:cs="Times New Roman" w:hint="eastAsia"/>
                <w:color w:val="000000"/>
                <w:spacing w:val="12"/>
                <w:kern w:val="0"/>
                <w:szCs w:val="24"/>
              </w:rPr>
              <w:t>府財務字第11300928561號</w:t>
            </w:r>
          </w:p>
        </w:tc>
      </w:tr>
    </w:tbl>
    <w:p w:rsidR="00561093" w:rsidRPr="00561093" w:rsidRDefault="00561093" w:rsidP="00561093">
      <w:pPr>
        <w:widowControl/>
        <w:rPr>
          <w:rFonts w:ascii="新細明體" w:eastAsia="新細明體" w:hAnsi="新細明體" w:cs="新細明體"/>
          <w:vanish/>
          <w:kern w:val="0"/>
          <w:szCs w:val="24"/>
        </w:rPr>
      </w:pPr>
    </w:p>
    <w:tbl>
      <w:tblPr>
        <w:tblW w:w="10216"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8940"/>
      </w:tblGrid>
      <w:tr w:rsidR="00561093" w:rsidRPr="00561093" w:rsidTr="00561093">
        <w:tc>
          <w:tcPr>
            <w:tcW w:w="1276" w:type="dxa"/>
            <w:shd w:val="clear" w:color="auto" w:fill="FFFFFF"/>
            <w:noWrap/>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速別：</w:t>
            </w:r>
          </w:p>
        </w:tc>
        <w:tc>
          <w:tcPr>
            <w:tcW w:w="0" w:type="auto"/>
            <w:shd w:val="clear" w:color="auto" w:fill="FFFFFF"/>
            <w:vAlign w:val="center"/>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普通件</w:t>
            </w:r>
          </w:p>
        </w:tc>
      </w:tr>
    </w:tbl>
    <w:p w:rsidR="00561093" w:rsidRPr="00561093" w:rsidRDefault="00561093" w:rsidP="00561093">
      <w:pPr>
        <w:widowControl/>
        <w:rPr>
          <w:rFonts w:ascii="新細明體" w:eastAsia="新細明體" w:hAnsi="新細明體" w:cs="新細明體"/>
          <w:vanish/>
          <w:kern w:val="0"/>
          <w:szCs w:val="24"/>
        </w:rPr>
      </w:pPr>
    </w:p>
    <w:tbl>
      <w:tblPr>
        <w:tblW w:w="10106" w:type="dxa"/>
        <w:shd w:val="clear" w:color="auto" w:fill="FFFFFF"/>
        <w:tblCellMar>
          <w:top w:w="15" w:type="dxa"/>
          <w:left w:w="15" w:type="dxa"/>
          <w:bottom w:w="15" w:type="dxa"/>
          <w:right w:w="15" w:type="dxa"/>
        </w:tblCellMar>
        <w:tblLook w:val="04A0" w:firstRow="1" w:lastRow="0" w:firstColumn="1" w:lastColumn="0" w:noHBand="0" w:noVBand="1"/>
      </w:tblPr>
      <w:tblGrid>
        <w:gridCol w:w="3686"/>
        <w:gridCol w:w="6420"/>
      </w:tblGrid>
      <w:tr w:rsidR="00561093" w:rsidRPr="00561093" w:rsidTr="00561093">
        <w:tc>
          <w:tcPr>
            <w:tcW w:w="3686" w:type="dxa"/>
            <w:shd w:val="clear" w:color="auto" w:fill="FFFFFF"/>
            <w:noWrap/>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密等及解密條件或保密期限：</w:t>
            </w:r>
          </w:p>
        </w:tc>
        <w:tc>
          <w:tcPr>
            <w:tcW w:w="0" w:type="auto"/>
            <w:shd w:val="clear" w:color="auto" w:fill="FFFFFF"/>
            <w:vAlign w:val="center"/>
            <w:hideMark/>
          </w:tcPr>
          <w:p w:rsidR="00561093" w:rsidRPr="00561093" w:rsidRDefault="00561093" w:rsidP="00561093">
            <w:pPr>
              <w:widowControl/>
              <w:wordWrap w:val="0"/>
              <w:ind w:left="480" w:hangingChars="182" w:hanging="480"/>
              <w:rPr>
                <w:rFonts w:ascii="Times New Roman" w:eastAsia="新細明體" w:hAnsi="Times New Roman" w:cs="Times New Roman"/>
                <w:color w:val="000000"/>
                <w:spacing w:val="12"/>
                <w:kern w:val="0"/>
                <w:szCs w:val="24"/>
              </w:rPr>
            </w:pPr>
          </w:p>
        </w:tc>
      </w:tr>
    </w:tbl>
    <w:p w:rsidR="00561093" w:rsidRPr="00561093" w:rsidRDefault="00561093" w:rsidP="00561093">
      <w:pPr>
        <w:widowControl/>
        <w:rPr>
          <w:rFonts w:ascii="新細明體" w:eastAsia="新細明體" w:hAnsi="新細明體" w:cs="新細明體"/>
          <w:vanish/>
          <w:kern w:val="0"/>
          <w:szCs w:val="24"/>
        </w:rPr>
      </w:pPr>
    </w:p>
    <w:tbl>
      <w:tblPr>
        <w:tblW w:w="9933"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8940"/>
      </w:tblGrid>
      <w:tr w:rsidR="00561093" w:rsidRPr="00561093" w:rsidTr="00561093">
        <w:tc>
          <w:tcPr>
            <w:tcW w:w="993" w:type="dxa"/>
            <w:shd w:val="clear" w:color="auto" w:fill="FFFFFF"/>
            <w:noWrap/>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附件：</w:t>
            </w:r>
          </w:p>
        </w:tc>
        <w:tc>
          <w:tcPr>
            <w:tcW w:w="0" w:type="auto"/>
            <w:shd w:val="clear" w:color="auto" w:fill="FFFFFF"/>
            <w:vAlign w:val="center"/>
            <w:hideMark/>
          </w:tcPr>
          <w:p w:rsidR="00561093" w:rsidRPr="00561093" w:rsidRDefault="00561093" w:rsidP="00561093">
            <w:pPr>
              <w:widowControl/>
              <w:wordWrap w:val="0"/>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如說明四 （376735400D_11300928561_ATTACH1.pdf）</w:t>
            </w:r>
          </w:p>
        </w:tc>
      </w:tr>
    </w:tbl>
    <w:p w:rsidR="00561093" w:rsidRPr="00561093" w:rsidRDefault="00561093" w:rsidP="00561093">
      <w:pPr>
        <w:widowControl/>
        <w:rPr>
          <w:rFonts w:ascii="新細明體" w:eastAsia="新細明體" w:hAnsi="新細明體" w:cs="新細明體"/>
          <w:kern w:val="0"/>
          <w:szCs w:val="24"/>
        </w:rPr>
      </w:pPr>
    </w:p>
    <w:tbl>
      <w:tblPr>
        <w:tblW w:w="999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4"/>
        <w:gridCol w:w="8865"/>
      </w:tblGrid>
      <w:tr w:rsidR="00561093" w:rsidRPr="00561093" w:rsidTr="00561093">
        <w:trPr>
          <w:tblCellSpacing w:w="15" w:type="dxa"/>
        </w:trPr>
        <w:tc>
          <w:tcPr>
            <w:tcW w:w="1089" w:type="dxa"/>
            <w:shd w:val="clear" w:color="auto" w:fill="FFFFFF"/>
            <w:noWrap/>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 w:val="32"/>
                <w:szCs w:val="32"/>
              </w:rPr>
            </w:pPr>
            <w:r w:rsidRPr="00561093">
              <w:rPr>
                <w:rFonts w:ascii="標楷體" w:eastAsia="標楷體" w:hAnsi="標楷體" w:cs="Times New Roman" w:hint="eastAsia"/>
                <w:color w:val="000000"/>
                <w:spacing w:val="12"/>
                <w:kern w:val="0"/>
                <w:sz w:val="32"/>
                <w:szCs w:val="32"/>
              </w:rPr>
              <w:t>主旨：</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為增加民眾繳款便利性及提升為民服務品質，請惠予協助向繳款人宣導本市市庫收入繳款書提供多元繳費方式，請查照。</w:t>
            </w:r>
          </w:p>
        </w:tc>
      </w:tr>
    </w:tbl>
    <w:p w:rsidR="00561093" w:rsidRPr="00561093" w:rsidRDefault="00561093" w:rsidP="00561093">
      <w:pPr>
        <w:widowControl/>
        <w:rPr>
          <w:rFonts w:ascii="新細明體" w:eastAsia="新細明體" w:hAnsi="新細明體" w:cs="新細明體"/>
          <w:vanish/>
          <w:kern w:val="0"/>
          <w:szCs w:val="24"/>
        </w:rPr>
      </w:pPr>
    </w:p>
    <w:tbl>
      <w:tblPr>
        <w:tblW w:w="101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8865"/>
      </w:tblGrid>
      <w:tr w:rsidR="00561093" w:rsidRPr="00561093" w:rsidTr="00561093">
        <w:trPr>
          <w:tblCellSpacing w:w="15" w:type="dxa"/>
        </w:trPr>
        <w:tc>
          <w:tcPr>
            <w:tcW w:w="1231" w:type="dxa"/>
            <w:shd w:val="clear" w:color="auto" w:fill="FFFFFF"/>
            <w:noWrap/>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 w:val="32"/>
                <w:szCs w:val="32"/>
              </w:rPr>
            </w:pPr>
            <w:r w:rsidRPr="00561093">
              <w:rPr>
                <w:rFonts w:ascii="標楷體" w:eastAsia="標楷體" w:hAnsi="標楷體" w:cs="Times New Roman" w:hint="eastAsia"/>
                <w:color w:val="000000"/>
                <w:spacing w:val="12"/>
                <w:kern w:val="0"/>
                <w:sz w:val="32"/>
                <w:szCs w:val="32"/>
              </w:rPr>
              <w:t>說明：</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 w:val="32"/>
                <w:szCs w:val="32"/>
              </w:rPr>
            </w:pP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8505"/>
      </w:tblGrid>
      <w:tr w:rsidR="00561093" w:rsidRPr="00561093" w:rsidTr="00561093">
        <w:trPr>
          <w:tblCellSpacing w:w="15" w:type="dxa"/>
        </w:trPr>
        <w:tc>
          <w:tcPr>
            <w:tcW w:w="120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一、</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本市市庫收入繳款書多元繳費管道如下：</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5"/>
        <w:gridCol w:w="8055"/>
      </w:tblGrid>
      <w:tr w:rsidR="00561093" w:rsidRPr="00561093" w:rsidTr="00561093">
        <w:trPr>
          <w:tblCellSpacing w:w="15" w:type="dxa"/>
        </w:trPr>
        <w:tc>
          <w:tcPr>
            <w:tcW w:w="165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(一)</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臺灣銀行全國各分行及本市各區農會臨櫃繳納。</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5"/>
        <w:gridCol w:w="8055"/>
      </w:tblGrid>
      <w:tr w:rsidR="00561093" w:rsidRPr="00561093" w:rsidTr="00561093">
        <w:trPr>
          <w:tblCellSpacing w:w="15" w:type="dxa"/>
        </w:trPr>
        <w:tc>
          <w:tcPr>
            <w:tcW w:w="165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(二)</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掃描收入繳款書台灣Pay 行動支付QR Code：繳款民眾可 使用支援「台灣Pay」APP 軟體，線上掃描QR Code 繳款 ，手續費為每筆新臺幣(以下同)10元，由繳款人負擔，每 日及每筆最高繳費額度限制為200萬元。</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5"/>
        <w:gridCol w:w="8055"/>
      </w:tblGrid>
      <w:tr w:rsidR="00561093" w:rsidRPr="00561093" w:rsidTr="00561093">
        <w:trPr>
          <w:tblCellSpacing w:w="15" w:type="dxa"/>
        </w:trPr>
        <w:tc>
          <w:tcPr>
            <w:tcW w:w="165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lastRenderedPageBreak/>
              <w:t>(三)</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至臺灣銀行公庫服務網網站首頁點選「多元繳費查詢」功能(網址https://nept.bot.com.tw/EPTBP/query/QRCodeStatusQuery.action?city=026)，輸入銷帳編號、金額及驗證碼後，掃描「台灣Pay」 QR Code 繳款。</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95"/>
        <w:gridCol w:w="8055"/>
      </w:tblGrid>
      <w:tr w:rsidR="00561093" w:rsidRPr="00561093" w:rsidTr="00561093">
        <w:trPr>
          <w:tblCellSpacing w:w="15" w:type="dxa"/>
        </w:trPr>
        <w:tc>
          <w:tcPr>
            <w:tcW w:w="165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(四)</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透過銷帳編號轉帳繳款：以收入繳款書上右上方條碼(銷帳編號)可作為轉帳繳費之虛擬帳號，可透過ATM轉帳、網路ATM、網路銀行及各金融機構櫃檯匯款等方式將款項匯入該虛擬帳號。</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8505"/>
      </w:tblGrid>
      <w:tr w:rsidR="00561093" w:rsidRPr="00561093" w:rsidTr="00561093">
        <w:trPr>
          <w:tblCellSpacing w:w="15" w:type="dxa"/>
        </w:trPr>
        <w:tc>
          <w:tcPr>
            <w:tcW w:w="120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二、</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另本市部分規費亦可透過桃園市線上繳費連結入口網站查詢繳納(網址：https://www.mpay.tycg.gov.tw)，目前提供信用卡、一卡通MONEY、街口支付及悠遊付等線上繳款工具。</w:t>
            </w:r>
          </w:p>
        </w:tc>
      </w:tr>
    </w:tbl>
    <w:p w:rsidR="00561093" w:rsidRPr="00561093" w:rsidRDefault="00561093" w:rsidP="00561093">
      <w:pPr>
        <w:widowControl/>
        <w:rPr>
          <w:rFonts w:ascii="新細明體" w:eastAsia="新細明體" w:hAnsi="新細明體" w:cs="新細明體"/>
          <w:vanish/>
          <w:kern w:val="0"/>
          <w:szCs w:val="24"/>
        </w:rPr>
      </w:pP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5"/>
        <w:gridCol w:w="8505"/>
      </w:tblGrid>
      <w:tr w:rsidR="00561093" w:rsidRPr="00561093" w:rsidTr="00561093">
        <w:trPr>
          <w:tblCellSpacing w:w="15" w:type="dxa"/>
        </w:trPr>
        <w:tc>
          <w:tcPr>
            <w:tcW w:w="1200" w:type="dxa"/>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三、</w:t>
            </w:r>
          </w:p>
        </w:tc>
        <w:tc>
          <w:tcPr>
            <w:tcW w:w="0" w:type="auto"/>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倘民眾有不便親自領取收入繳款書情形者，則可由本府各機關提供收入繳款書上之銷帳編號、繳款金額及多元繳費方式資訊予民眾，再透過銷帳編號轉帳繳款或至臺灣銀行公庫服務網多元繳費查詢網站繳款。</w:t>
            </w:r>
          </w:p>
        </w:tc>
      </w:tr>
    </w:tbl>
    <w:p w:rsidR="00561093" w:rsidRPr="00561093" w:rsidRDefault="00561093" w:rsidP="00561093">
      <w:pPr>
        <w:widowControl/>
        <w:rPr>
          <w:rFonts w:ascii="新細明體" w:eastAsia="新細明體" w:hAnsi="新細明體" w:cs="新細明體"/>
          <w:vanish/>
          <w:kern w:val="0"/>
          <w:szCs w:val="24"/>
        </w:rPr>
      </w:pPr>
    </w:p>
    <w:tbl>
      <w:tblPr>
        <w:tblW w:w="988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252"/>
        <w:gridCol w:w="4299"/>
        <w:gridCol w:w="4299"/>
        <w:gridCol w:w="45"/>
      </w:tblGrid>
      <w:tr w:rsidR="00561093" w:rsidRPr="00561093" w:rsidTr="00561093">
        <w:trPr>
          <w:gridAfter w:val="1"/>
          <w:tblCellSpacing w:w="15" w:type="dxa"/>
        </w:trPr>
        <w:tc>
          <w:tcPr>
            <w:tcW w:w="1200" w:type="dxa"/>
            <w:gridSpan w:val="2"/>
            <w:shd w:val="clear" w:color="auto" w:fill="FFFFFF"/>
            <w:hideMark/>
          </w:tcPr>
          <w:p w:rsidR="00561093" w:rsidRPr="00561093" w:rsidRDefault="00561093" w:rsidP="00561093">
            <w:pPr>
              <w:widowControl/>
              <w:wordWrap w:val="0"/>
              <w:spacing w:line="390" w:lineRule="atLeast"/>
              <w:jc w:val="righ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四、</w:t>
            </w:r>
          </w:p>
        </w:tc>
        <w:tc>
          <w:tcPr>
            <w:tcW w:w="0" w:type="auto"/>
            <w:gridSpan w:val="2"/>
            <w:shd w:val="clear" w:color="auto" w:fill="FFFFFF"/>
            <w:vAlign w:val="center"/>
            <w:hideMark/>
          </w:tcPr>
          <w:p w:rsidR="00561093" w:rsidRPr="00561093" w:rsidRDefault="00561093" w:rsidP="00561093">
            <w:pPr>
              <w:widowControl/>
              <w:wordWrap w:val="0"/>
              <w:spacing w:line="39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 w:val="32"/>
                <w:szCs w:val="32"/>
              </w:rPr>
              <w:t>檢附臺灣銀行公庫服務網桃園市專區多元繳費功能擴充使用者操作手冊供參。</w:t>
            </w:r>
          </w:p>
        </w:tc>
      </w:tr>
      <w:tr w:rsidR="00561093" w:rsidRPr="00561093" w:rsidTr="00561093">
        <w:trPr>
          <w:tblCellSpacing w:w="15" w:type="dxa"/>
        </w:trPr>
        <w:tc>
          <w:tcPr>
            <w:tcW w:w="948" w:type="dxa"/>
            <w:shd w:val="clear" w:color="auto" w:fill="FFFFFF"/>
            <w:noWrap/>
            <w:hideMark/>
          </w:tcPr>
          <w:p w:rsidR="00561093" w:rsidRPr="00561093" w:rsidRDefault="00561093" w:rsidP="00561093">
            <w:pPr>
              <w:widowControl/>
              <w:wordWrap w:val="0"/>
              <w:spacing w:line="30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正本：</w:t>
            </w:r>
          </w:p>
        </w:tc>
        <w:tc>
          <w:tcPr>
            <w:tcW w:w="0" w:type="auto"/>
            <w:gridSpan w:val="4"/>
            <w:shd w:val="clear" w:color="auto" w:fill="FFFFFF"/>
            <w:vAlign w:val="center"/>
            <w:hideMark/>
          </w:tcPr>
          <w:p w:rsidR="00561093" w:rsidRPr="00561093" w:rsidRDefault="00561093" w:rsidP="00561093">
            <w:pPr>
              <w:widowControl/>
              <w:wordWrap w:val="0"/>
              <w:spacing w:line="300" w:lineRule="atLeast"/>
              <w:rPr>
                <w:rFonts w:ascii="Times New Roman" w:eastAsia="新細明體" w:hAnsi="Times New Roman" w:cs="Times New Roman"/>
                <w:color w:val="000000"/>
                <w:spacing w:val="12"/>
                <w:kern w:val="0"/>
                <w:szCs w:val="24"/>
              </w:rPr>
            </w:pPr>
            <w:r w:rsidRPr="00561093">
              <w:rPr>
                <w:rFonts w:ascii="標楷體" w:eastAsia="標楷體" w:hAnsi="標楷體" w:cs="Times New Roman" w:hint="eastAsia"/>
                <w:color w:val="000000"/>
                <w:spacing w:val="12"/>
                <w:kern w:val="0"/>
                <w:szCs w:val="24"/>
              </w:rPr>
              <w:t>本府所屬機關學校（不含復興區公所）(桃園市政府財政局除外)</w:t>
            </w:r>
          </w:p>
        </w:tc>
      </w:tr>
      <w:tr w:rsidR="00561093" w:rsidRPr="00561093" w:rsidTr="00561093">
        <w:trPr>
          <w:gridAfter w:val="2"/>
          <w:tblCellSpacing w:w="15" w:type="dxa"/>
        </w:trPr>
        <w:tc>
          <w:tcPr>
            <w:tcW w:w="0" w:type="auto"/>
            <w:gridSpan w:val="3"/>
            <w:shd w:val="clear" w:color="auto" w:fill="FFFFFF"/>
            <w:vAlign w:val="center"/>
            <w:hideMark/>
          </w:tcPr>
          <w:p w:rsidR="00561093" w:rsidRPr="00561093" w:rsidRDefault="00561093" w:rsidP="00561093">
            <w:pPr>
              <w:widowControl/>
              <w:rPr>
                <w:rFonts w:ascii="新細明體" w:eastAsia="新細明體" w:hAnsi="新細明體" w:cs="新細明體"/>
                <w:kern w:val="0"/>
                <w:szCs w:val="24"/>
              </w:rPr>
            </w:pPr>
          </w:p>
        </w:tc>
      </w:tr>
    </w:tbl>
    <w:p w:rsidR="00A96F75" w:rsidRPr="00A96F75" w:rsidRDefault="00A96F75" w:rsidP="00A96F75">
      <w:pPr>
        <w:rPr>
          <w:rFonts w:ascii="標楷體" w:eastAsia="標楷體" w:hAnsi="標楷體"/>
          <w:sz w:val="28"/>
          <w:szCs w:val="28"/>
        </w:rPr>
      </w:pPr>
      <w:r>
        <w:rPr>
          <w:rFonts w:ascii="標楷體" w:eastAsia="標楷體" w:hAnsi="標楷體"/>
          <w:sz w:val="28"/>
          <w:szCs w:val="28"/>
        </w:rPr>
        <w:t xml:space="preserve">     </w:t>
      </w:r>
    </w:p>
    <w:sectPr w:rsidR="00A96F75" w:rsidRPr="00A96F75" w:rsidSect="00561093">
      <w:pgSz w:w="11906" w:h="16838"/>
      <w:pgMar w:top="567"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C5" w:rsidRDefault="00FB42C5" w:rsidP="0012489E">
      <w:r>
        <w:separator/>
      </w:r>
    </w:p>
  </w:endnote>
  <w:endnote w:type="continuationSeparator" w:id="0">
    <w:p w:rsidR="00FB42C5" w:rsidRDefault="00FB42C5" w:rsidP="0012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C5" w:rsidRDefault="00FB42C5" w:rsidP="0012489E">
      <w:r>
        <w:separator/>
      </w:r>
    </w:p>
  </w:footnote>
  <w:footnote w:type="continuationSeparator" w:id="0">
    <w:p w:rsidR="00FB42C5" w:rsidRDefault="00FB42C5" w:rsidP="00124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18"/>
    <w:rsid w:val="0002193F"/>
    <w:rsid w:val="0002537B"/>
    <w:rsid w:val="00095BF2"/>
    <w:rsid w:val="0012489E"/>
    <w:rsid w:val="00250439"/>
    <w:rsid w:val="002A5618"/>
    <w:rsid w:val="002B0770"/>
    <w:rsid w:val="002B0CF7"/>
    <w:rsid w:val="002C6E76"/>
    <w:rsid w:val="00333AD2"/>
    <w:rsid w:val="003D77E0"/>
    <w:rsid w:val="00404E92"/>
    <w:rsid w:val="004C1CD3"/>
    <w:rsid w:val="00555F93"/>
    <w:rsid w:val="00561093"/>
    <w:rsid w:val="006E685E"/>
    <w:rsid w:val="007E02F9"/>
    <w:rsid w:val="00A96F75"/>
    <w:rsid w:val="00AB1351"/>
    <w:rsid w:val="00B16C41"/>
    <w:rsid w:val="00B356A4"/>
    <w:rsid w:val="00B4187B"/>
    <w:rsid w:val="00DC5CC8"/>
    <w:rsid w:val="00E06165"/>
    <w:rsid w:val="00EB6C34"/>
    <w:rsid w:val="00ED7651"/>
    <w:rsid w:val="00FB4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5C1E"/>
  <w15:chartTrackingRefBased/>
  <w15:docId w15:val="{49A31944-7C7C-4D5B-BE69-80C6EAE9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89E"/>
    <w:pPr>
      <w:tabs>
        <w:tab w:val="center" w:pos="4153"/>
        <w:tab w:val="right" w:pos="8306"/>
      </w:tabs>
      <w:snapToGrid w:val="0"/>
    </w:pPr>
    <w:rPr>
      <w:sz w:val="20"/>
      <w:szCs w:val="20"/>
    </w:rPr>
  </w:style>
  <w:style w:type="character" w:customStyle="1" w:styleId="a4">
    <w:name w:val="頁首 字元"/>
    <w:basedOn w:val="a0"/>
    <w:link w:val="a3"/>
    <w:uiPriority w:val="99"/>
    <w:rsid w:val="0012489E"/>
    <w:rPr>
      <w:sz w:val="20"/>
      <w:szCs w:val="20"/>
    </w:rPr>
  </w:style>
  <w:style w:type="paragraph" w:styleId="a5">
    <w:name w:val="footer"/>
    <w:basedOn w:val="a"/>
    <w:link w:val="a6"/>
    <w:uiPriority w:val="99"/>
    <w:unhideWhenUsed/>
    <w:rsid w:val="0012489E"/>
    <w:pPr>
      <w:tabs>
        <w:tab w:val="center" w:pos="4153"/>
        <w:tab w:val="right" w:pos="8306"/>
      </w:tabs>
      <w:snapToGrid w:val="0"/>
    </w:pPr>
    <w:rPr>
      <w:sz w:val="20"/>
      <w:szCs w:val="20"/>
    </w:rPr>
  </w:style>
  <w:style w:type="character" w:customStyle="1" w:styleId="a6">
    <w:name w:val="頁尾 字元"/>
    <w:basedOn w:val="a0"/>
    <w:link w:val="a5"/>
    <w:uiPriority w:val="99"/>
    <w:rsid w:val="0012489E"/>
    <w:rPr>
      <w:sz w:val="20"/>
      <w:szCs w:val="20"/>
    </w:rPr>
  </w:style>
  <w:style w:type="table" w:styleId="a7">
    <w:name w:val="Table Grid"/>
    <w:basedOn w:val="a1"/>
    <w:uiPriority w:val="39"/>
    <w:rsid w:val="003D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D77E0"/>
    <w:rPr>
      <w:color w:val="0563C1" w:themeColor="hyperlink"/>
      <w:u w:val="single"/>
    </w:rPr>
  </w:style>
  <w:style w:type="paragraph" w:styleId="a9">
    <w:name w:val="Balloon Text"/>
    <w:basedOn w:val="a"/>
    <w:link w:val="aa"/>
    <w:uiPriority w:val="99"/>
    <w:semiHidden/>
    <w:unhideWhenUsed/>
    <w:rsid w:val="00A96F7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6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2023-10-03T02:08:00Z</cp:lastPrinted>
  <dcterms:created xsi:type="dcterms:W3CDTF">2024-04-12T00:33:00Z</dcterms:created>
  <dcterms:modified xsi:type="dcterms:W3CDTF">2024-04-12T00:33:00Z</dcterms:modified>
</cp:coreProperties>
</file>